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C5D7" w14:textId="7E810524" w:rsidR="00A551E7" w:rsidRDefault="00A551E7" w:rsidP="00A551E7">
      <w:pPr>
        <w:adjustRightInd w:val="0"/>
        <w:jc w:val="center"/>
        <w:rPr>
          <w:rFonts w:ascii="Calibri-Bold" w:eastAsiaTheme="minorHAnsi" w:hAnsi="Calibri-Bold" w:cs="Calibri-Bold"/>
          <w:b/>
          <w:bCs/>
          <w:color w:val="000000"/>
          <w:sz w:val="24"/>
          <w:szCs w:val="24"/>
          <w:lang w:eastAsia="en-US"/>
        </w:rPr>
      </w:pPr>
      <w:r w:rsidRPr="001D79C7">
        <w:rPr>
          <w:rFonts w:ascii="Calibri-Bold" w:eastAsiaTheme="minorHAnsi" w:hAnsi="Calibri-Bold" w:cs="Calibri-Bold"/>
          <w:b/>
          <w:bCs/>
          <w:color w:val="000000"/>
          <w:sz w:val="24"/>
          <w:szCs w:val="24"/>
          <w:lang w:eastAsia="en-US"/>
        </w:rPr>
        <w:t>ZNANSTVENA SEKCIJA</w:t>
      </w:r>
    </w:p>
    <w:p w14:paraId="0A83D4A2" w14:textId="77777777" w:rsidR="00A551E7" w:rsidRDefault="00A551E7" w:rsidP="00A551E7">
      <w:pPr>
        <w:adjustRightInd w:val="0"/>
        <w:rPr>
          <w:rFonts w:ascii="Calibri-Bold" w:eastAsiaTheme="minorHAnsi" w:hAnsi="Calibri-Bold" w:cs="Calibri-Bold"/>
          <w:b/>
          <w:bCs/>
          <w:color w:val="000000"/>
          <w:sz w:val="24"/>
          <w:szCs w:val="24"/>
          <w:lang w:eastAsia="en-US"/>
        </w:rPr>
      </w:pPr>
    </w:p>
    <w:p w14:paraId="2142CD6A" w14:textId="45ACA006" w:rsidR="00A551E7" w:rsidRPr="001D79C7" w:rsidRDefault="00A551E7" w:rsidP="00A551E7">
      <w:pPr>
        <w:adjustRightInd w:val="0"/>
        <w:rPr>
          <w:rFonts w:ascii="Calibri" w:eastAsiaTheme="minorHAnsi" w:hAnsi="Calibri" w:cs="Calibri"/>
          <w:color w:val="222222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222222"/>
          <w:sz w:val="24"/>
          <w:szCs w:val="24"/>
          <w:lang w:eastAsia="en-US"/>
        </w:rPr>
        <w:t>Tijekom 2018. godine u organizaciji Znanstvene sekcije HMD‐a, na Znanstvenom kolokviju</w:t>
      </w:r>
    </w:p>
    <w:p w14:paraId="1ACF2996" w14:textId="36AF426B" w:rsidR="00A551E7" w:rsidRDefault="00A551E7" w:rsidP="00A551E7">
      <w:pPr>
        <w:adjustRightInd w:val="0"/>
        <w:rPr>
          <w:rFonts w:ascii="Calibri" w:eastAsiaTheme="minorHAnsi" w:hAnsi="Calibri" w:cs="Calibri"/>
          <w:color w:val="222222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222222"/>
          <w:sz w:val="24"/>
          <w:szCs w:val="24"/>
          <w:lang w:eastAsia="en-US"/>
        </w:rPr>
        <w:t>HMD‐a je održano 8 predavanja.</w:t>
      </w:r>
    </w:p>
    <w:p w14:paraId="7C93E4F3" w14:textId="77777777" w:rsidR="00A551E7" w:rsidRPr="001D79C7" w:rsidRDefault="00A551E7" w:rsidP="00A551E7">
      <w:pPr>
        <w:adjustRightInd w:val="0"/>
        <w:rPr>
          <w:rFonts w:ascii="Calibri" w:eastAsiaTheme="minorHAnsi" w:hAnsi="Calibri" w:cs="Calibri"/>
          <w:color w:val="222222"/>
          <w:sz w:val="24"/>
          <w:szCs w:val="24"/>
          <w:lang w:eastAsia="en-US"/>
        </w:rPr>
      </w:pPr>
    </w:p>
    <w:p w14:paraId="187B1D50" w14:textId="77777777" w:rsidR="00A551E7" w:rsidRPr="001D79C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14. ožujka 2018.</w:t>
      </w:r>
    </w:p>
    <w:p w14:paraId="6BEAB5BE" w14:textId="77777777" w:rsidR="00A551E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Marko Erceg, PMF‐MO; </w:t>
      </w:r>
    </w:p>
    <w:p w14:paraId="462033EB" w14:textId="264B3176" w:rsidR="00A551E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Friedrichsovi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operatori kao dualni parovi</w:t>
      </w:r>
    </w:p>
    <w:p w14:paraId="2DB54406" w14:textId="77777777" w:rsidR="00A551E7" w:rsidRPr="001D79C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</w:p>
    <w:p w14:paraId="5C749E81" w14:textId="77777777" w:rsidR="00A551E7" w:rsidRPr="001D79C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18. travnja 2018.</w:t>
      </w:r>
    </w:p>
    <w:p w14:paraId="6B9CDACA" w14:textId="77777777" w:rsidR="00A551E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Fernando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Soria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,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Universidad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Autonoma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de Madrid; </w:t>
      </w:r>
    </w:p>
    <w:p w14:paraId="4F24AC16" w14:textId="50ED8BBA" w:rsidR="00A551E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Integro‐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differential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operators</w:t>
      </w:r>
      <w:proofErr w:type="spellEnd"/>
      <w:r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and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nonlocal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PDE</w:t>
      </w:r>
    </w:p>
    <w:p w14:paraId="44163257" w14:textId="77777777" w:rsidR="00A551E7" w:rsidRPr="001D79C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</w:p>
    <w:p w14:paraId="4CEAB5B0" w14:textId="77777777" w:rsidR="00A551E7" w:rsidRPr="001D79C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16. svibnja 2018.</w:t>
      </w:r>
    </w:p>
    <w:p w14:paraId="71FBDB2B" w14:textId="77777777" w:rsidR="00A551E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Marko Horvat, MPI‐SWS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Kaiserslautern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; </w:t>
      </w:r>
    </w:p>
    <w:p w14:paraId="030E475B" w14:textId="2459F835" w:rsidR="00A551E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Uspjesi formalne verifikacije u</w:t>
      </w:r>
      <w:r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standardizaciji sigurnosnih protokola</w:t>
      </w:r>
    </w:p>
    <w:p w14:paraId="2A93C858" w14:textId="77777777" w:rsidR="00A551E7" w:rsidRPr="001D79C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</w:p>
    <w:p w14:paraId="571677E1" w14:textId="1401CE74" w:rsidR="00A551E7" w:rsidRPr="001D79C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23. svibnja 2018.</w:t>
      </w:r>
    </w:p>
    <w:p w14:paraId="1150E7C1" w14:textId="77777777" w:rsidR="00A551E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Marjeta Kramar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Fijavž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, Sveučilište u Ljubljani; </w:t>
      </w:r>
    </w:p>
    <w:p w14:paraId="5D2E43DC" w14:textId="6231FCEB" w:rsidR="00A551E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Operator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semigroups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approach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to</w:t>
      </w:r>
      <w:r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transport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processes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on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metric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graphs</w:t>
      </w:r>
      <w:proofErr w:type="spellEnd"/>
    </w:p>
    <w:p w14:paraId="32C0BAE2" w14:textId="77777777" w:rsidR="00A551E7" w:rsidRPr="001D79C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</w:p>
    <w:p w14:paraId="52EE43F6" w14:textId="77777777" w:rsidR="00A551E7" w:rsidRPr="001D79C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12. rujna 2018.</w:t>
      </w:r>
    </w:p>
    <w:p w14:paraId="5156A6F9" w14:textId="77777777" w:rsidR="00A551E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Krzysztof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Burdzy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, University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of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Washington; </w:t>
      </w:r>
    </w:p>
    <w:p w14:paraId="39857FAF" w14:textId="77777777" w:rsidR="00A551E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On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number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of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collisions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of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billiard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balls</w:t>
      </w:r>
      <w:proofErr w:type="spellEnd"/>
      <w:r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</w:p>
    <w:p w14:paraId="3F4CAB53" w14:textId="77777777" w:rsidR="00A551E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</w:p>
    <w:p w14:paraId="5D3FAB4A" w14:textId="51803A62" w:rsidR="00A551E7" w:rsidRPr="001D79C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2. listopada 2018.</w:t>
      </w:r>
    </w:p>
    <w:p w14:paraId="185BB66B" w14:textId="77777777" w:rsidR="00A551E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Volker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Mehrmann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, TU Berlin; </w:t>
      </w:r>
    </w:p>
    <w:p w14:paraId="4F1B6DD8" w14:textId="7432AAAC" w:rsidR="00A551E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Port‐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Hamiltonian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systems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.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Modeling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,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Simulation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and</w:t>
      </w:r>
      <w:proofErr w:type="spellEnd"/>
      <w:r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Control</w:t>
      </w:r>
      <w:proofErr w:type="spellEnd"/>
    </w:p>
    <w:p w14:paraId="56CA773A" w14:textId="77777777" w:rsidR="00A551E7" w:rsidRPr="001D79C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</w:p>
    <w:p w14:paraId="6A51C4B8" w14:textId="77777777" w:rsidR="00A551E7" w:rsidRPr="001D79C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7. studenoga 2018.</w:t>
      </w:r>
    </w:p>
    <w:p w14:paraId="0F032E48" w14:textId="77777777" w:rsidR="00A551E7" w:rsidRDefault="00A551E7" w:rsidP="00A551E7">
      <w:pPr>
        <w:adjustRightInd w:val="0"/>
        <w:ind w:firstLine="284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Goran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Radunović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, PMF‐MO; </w:t>
      </w:r>
    </w:p>
    <w:p w14:paraId="5DF4AB19" w14:textId="08133B94" w:rsidR="00A551E7" w:rsidRDefault="00A551E7" w:rsidP="00A551E7">
      <w:pPr>
        <w:adjustRightInd w:val="0"/>
        <w:ind w:firstLine="284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Kompleksne dimenzije i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fraktalne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zeta funkcije</w:t>
      </w:r>
    </w:p>
    <w:p w14:paraId="64E151D0" w14:textId="77777777" w:rsidR="00A551E7" w:rsidRPr="001D79C7" w:rsidRDefault="00A551E7" w:rsidP="00A551E7">
      <w:pPr>
        <w:adjustRightInd w:val="0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</w:p>
    <w:p w14:paraId="0E54B946" w14:textId="77777777" w:rsidR="00A551E7" w:rsidRPr="001D79C7" w:rsidRDefault="00A551E7" w:rsidP="00A551E7">
      <w:pPr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19. prosinca2018.</w:t>
      </w:r>
    </w:p>
    <w:p w14:paraId="03030343" w14:textId="77777777" w:rsidR="00A551E7" w:rsidRDefault="00A551E7" w:rsidP="00A551E7">
      <w:pPr>
        <w:adjustRightInd w:val="0"/>
        <w:ind w:firstLine="284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Ekin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Ozman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, </w:t>
      </w:r>
      <w:proofErr w:type="spellStart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Bogazici</w:t>
      </w:r>
      <w:proofErr w:type="spellEnd"/>
      <w:r w:rsidRPr="001D79C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University; </w:t>
      </w:r>
    </w:p>
    <w:p w14:paraId="3829A334" w14:textId="25816E11" w:rsidR="00A551E7" w:rsidRPr="001D79C7" w:rsidRDefault="00A551E7" w:rsidP="00A551E7">
      <w:pPr>
        <w:adjustRightInd w:val="0"/>
        <w:ind w:firstLine="284"/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</w:pP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Modular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Curves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,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Rational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Points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and</w:t>
      </w:r>
      <w:proofErr w:type="spellEnd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Diophantine</w:t>
      </w:r>
      <w:proofErr w:type="spellEnd"/>
      <w:r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1D79C7">
        <w:rPr>
          <w:rFonts w:ascii="Calibri-Italic" w:eastAsiaTheme="minorHAnsi" w:hAnsi="Calibri-Italic" w:cs="Calibri-Italic"/>
          <w:i/>
          <w:iCs/>
          <w:color w:val="000000"/>
          <w:sz w:val="24"/>
          <w:szCs w:val="24"/>
          <w:lang w:eastAsia="en-US"/>
        </w:rPr>
        <w:t>Equations</w:t>
      </w:r>
      <w:proofErr w:type="spellEnd"/>
    </w:p>
    <w:p w14:paraId="62003457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E7"/>
    <w:rsid w:val="00316409"/>
    <w:rsid w:val="00A5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5678"/>
  <w15:chartTrackingRefBased/>
  <w15:docId w15:val="{B9408C2A-CFEF-4543-83D2-1AABD362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2021-06-24T18:29:00Z</dcterms:created>
  <dcterms:modified xsi:type="dcterms:W3CDTF">2021-06-24T18:32:00Z</dcterms:modified>
</cp:coreProperties>
</file>